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A150" w14:textId="77777777" w:rsidR="00DB6758" w:rsidRPr="00B41CD8" w:rsidRDefault="00DB6758" w:rsidP="00822918">
      <w:pPr>
        <w:spacing w:after="0" w:line="240" w:lineRule="auto"/>
        <w:ind w:left="0"/>
        <w:rPr>
          <w:rFonts w:ascii="Times New Roman" w:hAnsi="Times New Roman"/>
          <w:b/>
          <w:color w:val="000000" w:themeColor="text1"/>
        </w:rPr>
      </w:pPr>
    </w:p>
    <w:p w14:paraId="3194130F" w14:textId="4E9DE2BA" w:rsidR="00D55EA9" w:rsidRPr="00B41CD8" w:rsidRDefault="00B41CD8" w:rsidP="00822918">
      <w:pPr>
        <w:spacing w:after="0" w:line="240" w:lineRule="auto"/>
        <w:ind w:left="0"/>
        <w:rPr>
          <w:rFonts w:ascii="Times New Roman" w:hAnsi="Times New Roman"/>
          <w:b/>
          <w:color w:val="000000" w:themeColor="text1"/>
          <w:sz w:val="28"/>
          <w:szCs w:val="28"/>
        </w:rPr>
      </w:pPr>
      <w:r w:rsidRPr="00B41CD8">
        <w:rPr>
          <w:rFonts w:ascii="Times New Roman" w:hAnsi="Times New Roman"/>
          <w:b/>
          <w:color w:val="000000" w:themeColor="text1"/>
          <w:sz w:val="28"/>
          <w:szCs w:val="28"/>
        </w:rPr>
        <w:t xml:space="preserve">MINIMUM ADMISSIONS REQUIREMENTS FOR M.ED. COMPREHENSIVE INITIAL TEACHER LICENSURE PROGRAMS </w:t>
      </w:r>
    </w:p>
    <w:p w14:paraId="35B300C2" w14:textId="77777777" w:rsidR="00DB6758" w:rsidRDefault="00DB6758" w:rsidP="00994FFD">
      <w:pPr>
        <w:spacing w:after="0" w:line="240" w:lineRule="auto"/>
        <w:ind w:left="0"/>
        <w:rPr>
          <w:rFonts w:ascii="Times New Roman" w:hAnsi="Times New Roman"/>
          <w:b/>
          <w:color w:val="000000" w:themeColor="text1"/>
          <w:u w:val="single"/>
        </w:rPr>
      </w:pPr>
    </w:p>
    <w:p w14:paraId="0CD49529" w14:textId="77777777" w:rsidR="003C27DA" w:rsidRPr="00B41CD8" w:rsidRDefault="003C27DA" w:rsidP="00994FFD">
      <w:pPr>
        <w:spacing w:after="0" w:line="240" w:lineRule="auto"/>
        <w:ind w:left="0"/>
        <w:rPr>
          <w:rFonts w:ascii="Times New Roman" w:hAnsi="Times New Roman"/>
          <w:b/>
          <w:color w:val="000000" w:themeColor="text1"/>
          <w:u w:val="single"/>
        </w:rPr>
      </w:pPr>
    </w:p>
    <w:p w14:paraId="47EDC3E0" w14:textId="386358FE" w:rsidR="00DB6758" w:rsidRPr="00B41CD8" w:rsidRDefault="00DB6758" w:rsidP="00DB6758">
      <w:pPr>
        <w:spacing w:after="0" w:line="240" w:lineRule="auto"/>
        <w:ind w:left="0"/>
        <w:rPr>
          <w:rFonts w:ascii="Times New Roman" w:hAnsi="Times New Roman"/>
          <w:b/>
          <w:color w:val="000000" w:themeColor="text1"/>
          <w:u w:val="single"/>
        </w:rPr>
      </w:pPr>
      <w:r w:rsidRPr="00B41CD8">
        <w:rPr>
          <w:rFonts w:ascii="Times New Roman" w:hAnsi="Times New Roman"/>
          <w:b/>
          <w:color w:val="000000" w:themeColor="text1"/>
          <w:u w:val="single"/>
        </w:rPr>
        <w:t xml:space="preserve">SECTION I. MINIMUM ADMISSIONS REQUIREMENTS FOR </w:t>
      </w:r>
      <w:proofErr w:type="spellStart"/>
      <w:r w:rsidRPr="00B41CD8">
        <w:rPr>
          <w:rFonts w:ascii="Times New Roman" w:hAnsi="Times New Roman"/>
          <w:b/>
          <w:color w:val="000000" w:themeColor="text1"/>
          <w:u w:val="single"/>
        </w:rPr>
        <w:t>M.Ed</w:t>
      </w:r>
      <w:proofErr w:type="spellEnd"/>
      <w:r w:rsidR="00B41CD8">
        <w:rPr>
          <w:rFonts w:ascii="Times New Roman" w:hAnsi="Times New Roman"/>
          <w:b/>
          <w:color w:val="000000" w:themeColor="text1"/>
          <w:u w:val="single"/>
        </w:rPr>
        <w:t xml:space="preserve"> </w:t>
      </w:r>
      <w:r w:rsidRPr="00B41CD8">
        <w:rPr>
          <w:rFonts w:ascii="Times New Roman" w:hAnsi="Times New Roman"/>
          <w:b/>
          <w:color w:val="000000" w:themeColor="text1"/>
          <w:u w:val="single"/>
        </w:rPr>
        <w:t>COMPREHENSIVE INITIAL TEACHER LICENSURE PROGRAMS</w:t>
      </w:r>
    </w:p>
    <w:p w14:paraId="078034F5" w14:textId="77777777" w:rsidR="00DB6758" w:rsidRPr="00B41CD8" w:rsidRDefault="00DB6758" w:rsidP="00DB6758">
      <w:pPr>
        <w:spacing w:after="0" w:line="240" w:lineRule="auto"/>
        <w:ind w:left="0"/>
        <w:rPr>
          <w:rFonts w:ascii="Times New Roman" w:hAnsi="Times New Roman"/>
          <w:color w:val="000000" w:themeColor="text1"/>
        </w:rPr>
      </w:pPr>
    </w:p>
    <w:p w14:paraId="5C7C408B" w14:textId="53328793" w:rsidR="00DB6758" w:rsidRPr="00B41CD8" w:rsidRDefault="00DB6758" w:rsidP="00DB6758">
      <w:pPr>
        <w:spacing w:after="0" w:line="240" w:lineRule="auto"/>
        <w:ind w:left="180" w:hanging="180"/>
        <w:rPr>
          <w:rFonts w:ascii="Times New Roman" w:hAnsi="Times New Roman"/>
          <w:color w:val="000000" w:themeColor="text1"/>
        </w:rPr>
      </w:pPr>
      <w:r w:rsidRPr="00B41CD8">
        <w:rPr>
          <w:rFonts w:ascii="Times New Roman" w:hAnsi="Times New Roman"/>
          <w:color w:val="000000" w:themeColor="text1"/>
        </w:rPr>
        <w:t xml:space="preserve">1. </w:t>
      </w:r>
      <w:r w:rsidR="000F4EFE" w:rsidRPr="00B41CD8">
        <w:rPr>
          <w:rFonts w:ascii="Times New Roman" w:hAnsi="Times New Roman"/>
          <w:color w:val="000000" w:themeColor="text1"/>
        </w:rPr>
        <w:t>B</w:t>
      </w:r>
      <w:r w:rsidRPr="00B41CD8">
        <w:rPr>
          <w:rFonts w:ascii="Times New Roman" w:hAnsi="Times New Roman"/>
          <w:color w:val="000000" w:themeColor="text1"/>
        </w:rPr>
        <w:t xml:space="preserve">achelor’s degree with minimum of 2.8 GPA (demonstrated through </w:t>
      </w:r>
      <w:r w:rsidR="000F4EFE" w:rsidRPr="00B41CD8">
        <w:rPr>
          <w:rFonts w:ascii="Times New Roman" w:hAnsi="Times New Roman"/>
          <w:color w:val="000000" w:themeColor="text1"/>
        </w:rPr>
        <w:t xml:space="preserve">an </w:t>
      </w:r>
      <w:r w:rsidRPr="00B41CD8">
        <w:rPr>
          <w:rFonts w:ascii="Times New Roman" w:hAnsi="Times New Roman"/>
          <w:color w:val="000000" w:themeColor="text1"/>
        </w:rPr>
        <w:t>official transcript)</w:t>
      </w:r>
    </w:p>
    <w:p w14:paraId="25C4EE69" w14:textId="77777777" w:rsidR="00DB6758" w:rsidRPr="00B41CD8" w:rsidRDefault="00DB6758" w:rsidP="00DB6758">
      <w:pPr>
        <w:spacing w:after="0" w:line="240" w:lineRule="auto"/>
        <w:ind w:left="0"/>
        <w:rPr>
          <w:rFonts w:ascii="Times New Roman" w:hAnsi="Times New Roman"/>
          <w:color w:val="000000" w:themeColor="text1"/>
        </w:rPr>
      </w:pPr>
      <w:r w:rsidRPr="00B41CD8">
        <w:rPr>
          <w:rFonts w:ascii="Times New Roman" w:hAnsi="Times New Roman"/>
          <w:color w:val="000000" w:themeColor="text1"/>
        </w:rPr>
        <w:t xml:space="preserve">2. Resume </w:t>
      </w:r>
    </w:p>
    <w:p w14:paraId="0EFB0ACA" w14:textId="5B35ECAC" w:rsidR="00DB6758" w:rsidRPr="00B41CD8" w:rsidRDefault="00DB6758" w:rsidP="00DB6758">
      <w:pPr>
        <w:spacing w:after="0" w:line="240" w:lineRule="auto"/>
        <w:ind w:left="0"/>
        <w:rPr>
          <w:rFonts w:ascii="Times New Roman" w:hAnsi="Times New Roman"/>
          <w:color w:val="000000" w:themeColor="text1"/>
        </w:rPr>
      </w:pPr>
      <w:r w:rsidRPr="00B41CD8">
        <w:rPr>
          <w:rFonts w:ascii="Times New Roman" w:hAnsi="Times New Roman"/>
          <w:color w:val="000000" w:themeColor="text1"/>
        </w:rPr>
        <w:t xml:space="preserve">3. One essay question </w:t>
      </w:r>
      <w:r w:rsidR="000F4EFE" w:rsidRPr="00B41CD8">
        <w:rPr>
          <w:rFonts w:ascii="Times New Roman" w:hAnsi="Times New Roman"/>
          <w:color w:val="000000" w:themeColor="text1"/>
        </w:rPr>
        <w:t>(constructed at the department’s discretion)</w:t>
      </w:r>
    </w:p>
    <w:p w14:paraId="4FD9964A" w14:textId="6B673A40" w:rsidR="00DB6758" w:rsidRPr="00B41CD8" w:rsidRDefault="00DB6758" w:rsidP="00DB6758">
      <w:pPr>
        <w:spacing w:after="0" w:line="240" w:lineRule="auto"/>
        <w:ind w:left="0"/>
        <w:rPr>
          <w:rFonts w:ascii="Times New Roman" w:hAnsi="Times New Roman"/>
          <w:color w:val="000000" w:themeColor="text1"/>
        </w:rPr>
      </w:pPr>
      <w:r w:rsidRPr="00B41CD8">
        <w:rPr>
          <w:rFonts w:ascii="Times New Roman" w:hAnsi="Times New Roman"/>
          <w:color w:val="000000" w:themeColor="text1"/>
        </w:rPr>
        <w:t xml:space="preserve">4. One letter of recommendation </w:t>
      </w:r>
    </w:p>
    <w:p w14:paraId="6967637B" w14:textId="498266D5" w:rsidR="00DB6758" w:rsidRPr="00B41CD8" w:rsidRDefault="00DB6758" w:rsidP="00DB6758">
      <w:pPr>
        <w:spacing w:after="0" w:line="240" w:lineRule="auto"/>
        <w:ind w:left="0"/>
        <w:rPr>
          <w:rFonts w:ascii="Times New Roman" w:hAnsi="Times New Roman"/>
          <w:color w:val="000000" w:themeColor="text1"/>
        </w:rPr>
      </w:pPr>
      <w:r w:rsidRPr="00B41CD8">
        <w:rPr>
          <w:rFonts w:ascii="Times New Roman" w:hAnsi="Times New Roman"/>
          <w:color w:val="000000" w:themeColor="text1"/>
        </w:rPr>
        <w:t>5. A process for application review for candidates with extenuating circumstances</w:t>
      </w:r>
      <w:r w:rsidR="000F4EFE" w:rsidRPr="00B41CD8">
        <w:rPr>
          <w:rFonts w:ascii="Times New Roman" w:hAnsi="Times New Roman"/>
          <w:color w:val="000000" w:themeColor="text1"/>
        </w:rPr>
        <w:t xml:space="preserve"> (constructed at the department’s discretion and can include processes such as essay questions or interviews)</w:t>
      </w:r>
    </w:p>
    <w:p w14:paraId="630EC022" w14:textId="77777777" w:rsidR="00DB6758" w:rsidRDefault="00DB6758" w:rsidP="00A2587C">
      <w:pPr>
        <w:spacing w:after="0" w:line="240" w:lineRule="auto"/>
        <w:ind w:left="0"/>
        <w:rPr>
          <w:rFonts w:ascii="Times New Roman" w:hAnsi="Times New Roman"/>
          <w:b/>
          <w:color w:val="000000" w:themeColor="text1"/>
          <w:u w:val="single"/>
        </w:rPr>
      </w:pPr>
    </w:p>
    <w:p w14:paraId="1A0FE073" w14:textId="77777777" w:rsidR="00B41CD8" w:rsidRPr="00B41CD8" w:rsidRDefault="00B41CD8" w:rsidP="00A2587C">
      <w:pPr>
        <w:spacing w:after="0" w:line="240" w:lineRule="auto"/>
        <w:ind w:left="0"/>
        <w:rPr>
          <w:rFonts w:ascii="Times New Roman" w:hAnsi="Times New Roman"/>
          <w:b/>
          <w:color w:val="000000" w:themeColor="text1"/>
          <w:u w:val="single"/>
        </w:rPr>
      </w:pPr>
    </w:p>
    <w:p w14:paraId="78146E73" w14:textId="0B4F57E7" w:rsidR="00A2587C" w:rsidRPr="00B41CD8" w:rsidRDefault="00741667" w:rsidP="00A2587C">
      <w:pPr>
        <w:spacing w:after="0" w:line="240" w:lineRule="auto"/>
        <w:ind w:left="0"/>
        <w:rPr>
          <w:rFonts w:ascii="Times New Roman" w:hAnsi="Times New Roman"/>
          <w:color w:val="000000" w:themeColor="text1"/>
          <w:u w:val="single"/>
        </w:rPr>
      </w:pPr>
      <w:r w:rsidRPr="00B41CD8">
        <w:rPr>
          <w:rFonts w:ascii="Times New Roman" w:hAnsi="Times New Roman"/>
          <w:b/>
          <w:color w:val="000000" w:themeColor="text1"/>
          <w:u w:val="single"/>
        </w:rPr>
        <w:t xml:space="preserve">SECTION </w:t>
      </w:r>
      <w:r w:rsidR="00DB6758" w:rsidRPr="00B41CD8">
        <w:rPr>
          <w:rFonts w:ascii="Times New Roman" w:hAnsi="Times New Roman"/>
          <w:b/>
          <w:color w:val="000000" w:themeColor="text1"/>
          <w:u w:val="single"/>
        </w:rPr>
        <w:t>I</w:t>
      </w:r>
      <w:r w:rsidRPr="00B41CD8">
        <w:rPr>
          <w:rFonts w:ascii="Times New Roman" w:hAnsi="Times New Roman"/>
          <w:b/>
          <w:color w:val="000000" w:themeColor="text1"/>
          <w:u w:val="single"/>
        </w:rPr>
        <w:t>I</w:t>
      </w:r>
      <w:r w:rsidR="00DB6758" w:rsidRPr="00B41CD8">
        <w:rPr>
          <w:rFonts w:ascii="Times New Roman" w:hAnsi="Times New Roman"/>
          <w:b/>
          <w:color w:val="000000" w:themeColor="text1"/>
          <w:u w:val="single"/>
        </w:rPr>
        <w:t>.  PROGRAMS AFFECTED BY THIS POLICY</w:t>
      </w:r>
    </w:p>
    <w:p w14:paraId="0045E927" w14:textId="3D516A3D" w:rsidR="000F4EFE" w:rsidRPr="00B41CD8" w:rsidRDefault="00DB6758" w:rsidP="00E873E0">
      <w:pPr>
        <w:spacing w:after="0" w:line="240" w:lineRule="auto"/>
        <w:ind w:left="0"/>
        <w:rPr>
          <w:rFonts w:ascii="Times New Roman" w:hAnsi="Times New Roman"/>
          <w:color w:val="000000" w:themeColor="text1"/>
        </w:rPr>
      </w:pPr>
      <w:r w:rsidRPr="00B41CD8">
        <w:rPr>
          <w:rFonts w:ascii="Times New Roman" w:hAnsi="Times New Roman"/>
          <w:color w:val="000000" w:themeColor="text1"/>
        </w:rPr>
        <w:t>This policy will apply to all teacher licensure programs at the post-baccalaureate level</w:t>
      </w:r>
      <w:r w:rsidR="000F4EFE" w:rsidRPr="00B41CD8">
        <w:rPr>
          <w:rFonts w:ascii="Times New Roman" w:hAnsi="Times New Roman"/>
          <w:color w:val="000000" w:themeColor="text1"/>
        </w:rPr>
        <w:t xml:space="preserve"> at the University of Minnesota-</w:t>
      </w:r>
      <w:r w:rsidR="00764EE3" w:rsidRPr="00B41CD8">
        <w:rPr>
          <w:rFonts w:ascii="Times New Roman" w:hAnsi="Times New Roman"/>
          <w:color w:val="000000" w:themeColor="text1"/>
        </w:rPr>
        <w:t xml:space="preserve"> </w:t>
      </w:r>
      <w:r w:rsidR="000F4EFE" w:rsidRPr="00B41CD8">
        <w:rPr>
          <w:rFonts w:ascii="Times New Roman" w:hAnsi="Times New Roman"/>
          <w:color w:val="000000" w:themeColor="text1"/>
        </w:rPr>
        <w:t>Twin Cities</w:t>
      </w:r>
      <w:r w:rsidR="00764EE3" w:rsidRPr="00B41CD8">
        <w:rPr>
          <w:rFonts w:ascii="Times New Roman" w:hAnsi="Times New Roman"/>
          <w:color w:val="000000" w:themeColor="text1"/>
        </w:rPr>
        <w:t>.</w:t>
      </w:r>
    </w:p>
    <w:p w14:paraId="156EF976" w14:textId="77777777" w:rsidR="00DB6758" w:rsidRDefault="00DB6758" w:rsidP="000F4EFE">
      <w:pPr>
        <w:pStyle w:val="ListParagraph"/>
        <w:numPr>
          <w:ilvl w:val="0"/>
          <w:numId w:val="0"/>
        </w:numPr>
        <w:spacing w:before="0" w:after="0" w:line="240" w:lineRule="auto"/>
        <w:ind w:left="720"/>
        <w:rPr>
          <w:rFonts w:ascii="Times New Roman" w:hAnsi="Times New Roman"/>
          <w:color w:val="000000" w:themeColor="text1"/>
        </w:rPr>
      </w:pPr>
    </w:p>
    <w:p w14:paraId="6E225E50" w14:textId="77777777" w:rsidR="00B41CD8" w:rsidRPr="00B41CD8" w:rsidRDefault="00B41CD8" w:rsidP="000F4EFE">
      <w:pPr>
        <w:pStyle w:val="ListParagraph"/>
        <w:numPr>
          <w:ilvl w:val="0"/>
          <w:numId w:val="0"/>
        </w:numPr>
        <w:spacing w:before="0" w:after="0" w:line="240" w:lineRule="auto"/>
        <w:ind w:left="720"/>
        <w:rPr>
          <w:rFonts w:ascii="Times New Roman" w:hAnsi="Times New Roman"/>
          <w:color w:val="000000" w:themeColor="text1"/>
        </w:rPr>
      </w:pPr>
    </w:p>
    <w:p w14:paraId="577A9EBC" w14:textId="77777777" w:rsidR="000F4EFE" w:rsidRPr="00B41CD8" w:rsidRDefault="00DB6758" w:rsidP="00E873E0">
      <w:pPr>
        <w:spacing w:after="0" w:line="240" w:lineRule="auto"/>
        <w:ind w:left="0"/>
        <w:rPr>
          <w:rFonts w:ascii="Times New Roman" w:hAnsi="Times New Roman"/>
          <w:b/>
          <w:color w:val="000000" w:themeColor="text1"/>
          <w:u w:val="single"/>
        </w:rPr>
      </w:pPr>
      <w:r w:rsidRPr="00B41CD8">
        <w:rPr>
          <w:rFonts w:ascii="Times New Roman" w:hAnsi="Times New Roman"/>
          <w:b/>
          <w:color w:val="000000" w:themeColor="text1"/>
          <w:u w:val="single"/>
        </w:rPr>
        <w:t>SECTION III.</w:t>
      </w:r>
      <w:r w:rsidR="000F4EFE" w:rsidRPr="00B41CD8">
        <w:rPr>
          <w:rFonts w:ascii="Times New Roman" w:hAnsi="Times New Roman"/>
          <w:b/>
          <w:color w:val="000000" w:themeColor="text1"/>
          <w:u w:val="single"/>
        </w:rPr>
        <w:t xml:space="preserve"> RATIONALE AND GUIDANCE FOR THE CONSTRUCTION OF ADMISSION REQUIREMENTS</w:t>
      </w:r>
    </w:p>
    <w:p w14:paraId="29B1F667" w14:textId="77777777" w:rsidR="000F4EFE" w:rsidRPr="00B41CD8" w:rsidRDefault="000F4EFE" w:rsidP="00E873E0">
      <w:pPr>
        <w:spacing w:after="0" w:line="240" w:lineRule="auto"/>
        <w:ind w:left="0"/>
        <w:rPr>
          <w:rFonts w:ascii="Times New Roman" w:hAnsi="Times New Roman"/>
          <w:color w:val="000000" w:themeColor="text1"/>
        </w:rPr>
      </w:pPr>
    </w:p>
    <w:p w14:paraId="10E0DBA3" w14:textId="77658970" w:rsidR="000F4EFE" w:rsidRPr="00B41CD8" w:rsidRDefault="000F4EFE" w:rsidP="000F4EFE">
      <w:pPr>
        <w:spacing w:after="0" w:line="240" w:lineRule="auto"/>
        <w:ind w:left="0"/>
        <w:rPr>
          <w:rFonts w:ascii="Times New Roman" w:hAnsi="Times New Roman"/>
          <w:color w:val="000000" w:themeColor="text1"/>
        </w:rPr>
      </w:pPr>
      <w:r w:rsidRPr="00B41CD8">
        <w:rPr>
          <w:rFonts w:ascii="Times New Roman" w:hAnsi="Times New Roman"/>
          <w:color w:val="000000" w:themeColor="text1"/>
        </w:rPr>
        <w:t>Admissions processes at the department level should be streamlined in order to reduce barriers for applying to programs without reducing the rigor of admissions f</w:t>
      </w:r>
      <w:r w:rsidR="00BC50AE" w:rsidRPr="00B41CD8">
        <w:rPr>
          <w:rFonts w:ascii="Times New Roman" w:hAnsi="Times New Roman"/>
          <w:color w:val="000000" w:themeColor="text1"/>
        </w:rPr>
        <w:t>or all</w:t>
      </w:r>
    </w:p>
    <w:p w14:paraId="41ABB815" w14:textId="64DC7893" w:rsidR="00DB6758" w:rsidRPr="00B41CD8" w:rsidRDefault="00BC50AE" w:rsidP="000F4EFE">
      <w:pPr>
        <w:spacing w:after="0" w:line="240" w:lineRule="auto"/>
        <w:ind w:left="0"/>
        <w:rPr>
          <w:rFonts w:ascii="Times New Roman" w:hAnsi="Times New Roman"/>
          <w:color w:val="000000" w:themeColor="text1"/>
        </w:rPr>
      </w:pPr>
      <w:proofErr w:type="gramStart"/>
      <w:r w:rsidRPr="00B41CD8">
        <w:rPr>
          <w:rFonts w:ascii="Times New Roman" w:hAnsi="Times New Roman"/>
          <w:color w:val="000000" w:themeColor="text1"/>
        </w:rPr>
        <w:t>p</w:t>
      </w:r>
      <w:r w:rsidR="000F4EFE" w:rsidRPr="00B41CD8">
        <w:rPr>
          <w:rFonts w:ascii="Times New Roman" w:hAnsi="Times New Roman"/>
          <w:color w:val="000000" w:themeColor="text1"/>
        </w:rPr>
        <w:t>otential</w:t>
      </w:r>
      <w:proofErr w:type="gramEnd"/>
      <w:r w:rsidR="000F4EFE" w:rsidRPr="00B41CD8">
        <w:rPr>
          <w:rFonts w:ascii="Times New Roman" w:hAnsi="Times New Roman"/>
          <w:color w:val="000000" w:themeColor="text1"/>
        </w:rPr>
        <w:t xml:space="preserve"> candidates, </w:t>
      </w:r>
      <w:r w:rsidR="00764EE3" w:rsidRPr="00B41CD8">
        <w:rPr>
          <w:rFonts w:ascii="Times New Roman" w:hAnsi="Times New Roman"/>
          <w:color w:val="000000" w:themeColor="text1"/>
        </w:rPr>
        <w:t>with a specific emphasis on attracting and admitting</w:t>
      </w:r>
      <w:r w:rsidR="000F4EFE" w:rsidRPr="00B41CD8">
        <w:rPr>
          <w:rFonts w:ascii="Times New Roman" w:hAnsi="Times New Roman"/>
          <w:color w:val="000000" w:themeColor="text1"/>
        </w:rPr>
        <w:t xml:space="preserve"> candidates of color</w:t>
      </w:r>
      <w:r w:rsidR="00764EE3" w:rsidRPr="00B41CD8">
        <w:rPr>
          <w:rFonts w:ascii="Times New Roman" w:hAnsi="Times New Roman"/>
          <w:color w:val="000000" w:themeColor="text1"/>
        </w:rPr>
        <w:t>.</w:t>
      </w:r>
      <w:r w:rsidR="00DB6758" w:rsidRPr="00B41CD8">
        <w:rPr>
          <w:rFonts w:ascii="Times New Roman" w:hAnsi="Times New Roman"/>
          <w:color w:val="000000" w:themeColor="text1"/>
        </w:rPr>
        <w:t xml:space="preserve">​ </w:t>
      </w:r>
    </w:p>
    <w:p w14:paraId="0E147BBD" w14:textId="77777777" w:rsidR="000F4EFE" w:rsidRPr="00B41CD8" w:rsidRDefault="000F4EFE" w:rsidP="000F4EFE">
      <w:pPr>
        <w:spacing w:after="0" w:line="240" w:lineRule="auto"/>
        <w:ind w:left="0"/>
        <w:rPr>
          <w:rFonts w:ascii="Times New Roman" w:hAnsi="Times New Roman"/>
          <w:color w:val="000000" w:themeColor="text1"/>
        </w:rPr>
      </w:pPr>
    </w:p>
    <w:p w14:paraId="42DBB164" w14:textId="49012126" w:rsidR="000F4EFE" w:rsidRPr="00B41CD8" w:rsidRDefault="000F4EFE" w:rsidP="000F4EFE">
      <w:pPr>
        <w:spacing w:after="0" w:line="240" w:lineRule="auto"/>
        <w:ind w:left="0"/>
        <w:rPr>
          <w:rFonts w:ascii="Times New Roman" w:hAnsi="Times New Roman"/>
          <w:color w:val="000000" w:themeColor="text1"/>
        </w:rPr>
      </w:pPr>
      <w:r w:rsidRPr="00B41CD8">
        <w:rPr>
          <w:rFonts w:ascii="Times New Roman" w:hAnsi="Times New Roman"/>
          <w:color w:val="000000" w:themeColor="text1"/>
        </w:rPr>
        <w:t xml:space="preserve">Admissions processes </w:t>
      </w:r>
      <w:r w:rsidR="000926B3" w:rsidRPr="00B41CD8">
        <w:rPr>
          <w:rFonts w:ascii="Times New Roman" w:hAnsi="Times New Roman"/>
          <w:color w:val="000000" w:themeColor="text1"/>
        </w:rPr>
        <w:t>must</w:t>
      </w:r>
      <w:r w:rsidRPr="00B41CD8">
        <w:rPr>
          <w:rFonts w:ascii="Times New Roman" w:hAnsi="Times New Roman"/>
          <w:color w:val="000000" w:themeColor="text1"/>
        </w:rPr>
        <w:t xml:space="preserve"> align with Board of Teaching </w:t>
      </w:r>
      <w:r w:rsidR="00BC50AE" w:rsidRPr="00B41CD8">
        <w:rPr>
          <w:rFonts w:ascii="Times New Roman" w:hAnsi="Times New Roman"/>
          <w:color w:val="000000" w:themeColor="text1"/>
        </w:rPr>
        <w:t>requirements</w:t>
      </w:r>
      <w:r w:rsidRPr="00B41CD8">
        <w:rPr>
          <w:rFonts w:ascii="Times New Roman" w:hAnsi="Times New Roman"/>
          <w:color w:val="000000" w:themeColor="text1"/>
        </w:rPr>
        <w:t xml:space="preserve"> and a</w:t>
      </w:r>
      <w:r w:rsidR="00BC50AE" w:rsidRPr="00B41CD8">
        <w:rPr>
          <w:rFonts w:ascii="Times New Roman" w:hAnsi="Times New Roman"/>
          <w:color w:val="000000" w:themeColor="text1"/>
        </w:rPr>
        <w:t>ccreditation expectations. The</w:t>
      </w:r>
      <w:r w:rsidRPr="00B41CD8">
        <w:rPr>
          <w:rFonts w:ascii="Times New Roman" w:hAnsi="Times New Roman"/>
          <w:color w:val="000000" w:themeColor="text1"/>
        </w:rPr>
        <w:t xml:space="preserve"> requirements </w:t>
      </w:r>
      <w:r w:rsidR="00BC50AE" w:rsidRPr="00B41CD8">
        <w:rPr>
          <w:rFonts w:ascii="Times New Roman" w:hAnsi="Times New Roman"/>
          <w:color w:val="000000" w:themeColor="text1"/>
        </w:rPr>
        <w:t xml:space="preserve">named in this policy </w:t>
      </w:r>
      <w:r w:rsidRPr="00B41CD8">
        <w:rPr>
          <w:rFonts w:ascii="Times New Roman" w:hAnsi="Times New Roman"/>
          <w:color w:val="000000" w:themeColor="text1"/>
        </w:rPr>
        <w:t>meet both of those agencies’ expectations.</w:t>
      </w:r>
    </w:p>
    <w:p w14:paraId="1EE7FF26" w14:textId="77777777" w:rsidR="000F4EFE" w:rsidRPr="00B41CD8" w:rsidRDefault="000F4EFE" w:rsidP="000F4EFE">
      <w:pPr>
        <w:spacing w:after="0" w:line="240" w:lineRule="auto"/>
        <w:ind w:left="0"/>
        <w:rPr>
          <w:rFonts w:ascii="Times New Roman" w:hAnsi="Times New Roman"/>
          <w:color w:val="000000" w:themeColor="text1"/>
        </w:rPr>
      </w:pPr>
    </w:p>
    <w:p w14:paraId="2C25A102" w14:textId="44513159" w:rsidR="000F4EFE" w:rsidRPr="00B41CD8" w:rsidRDefault="000F4EFE" w:rsidP="000F4EFE">
      <w:pPr>
        <w:spacing w:after="0" w:line="240" w:lineRule="auto"/>
        <w:ind w:left="0"/>
        <w:rPr>
          <w:rFonts w:ascii="Times New Roman" w:hAnsi="Times New Roman"/>
          <w:color w:val="000000" w:themeColor="text1"/>
        </w:rPr>
      </w:pPr>
      <w:r w:rsidRPr="00B41CD8">
        <w:rPr>
          <w:rFonts w:ascii="Times New Roman" w:hAnsi="Times New Roman"/>
          <w:color w:val="000000" w:themeColor="text1"/>
        </w:rPr>
        <w:t xml:space="preserve">Candidates should have an opportunity to submit materials or participate in an application review process that will allow them to explain extenuating circumstances within their application. This may address issues such as GPA, diversity of experience, </w:t>
      </w:r>
      <w:r w:rsidR="00BC50AE" w:rsidRPr="00B41CD8">
        <w:rPr>
          <w:rFonts w:ascii="Times New Roman" w:hAnsi="Times New Roman"/>
          <w:color w:val="000000" w:themeColor="text1"/>
        </w:rPr>
        <w:t>non-traditional schooling experience, among others.</w:t>
      </w:r>
      <w:bookmarkStart w:id="0" w:name="_GoBack"/>
      <w:bookmarkEnd w:id="0"/>
    </w:p>
    <w:sectPr w:rsidR="000F4EFE" w:rsidRPr="00B41CD8" w:rsidSect="00821535">
      <w:headerReference w:type="default" r:id="rId10"/>
      <w:footerReference w:type="even" r:id="rId11"/>
      <w:footerReference w:type="default" r:id="rId12"/>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5185" w14:textId="77777777" w:rsidR="00764EE3" w:rsidRDefault="00764EE3" w:rsidP="007E7A00">
      <w:pPr>
        <w:spacing w:after="0" w:line="240" w:lineRule="auto"/>
      </w:pPr>
      <w:r>
        <w:separator/>
      </w:r>
    </w:p>
  </w:endnote>
  <w:endnote w:type="continuationSeparator" w:id="0">
    <w:p w14:paraId="3D3BE026" w14:textId="77777777" w:rsidR="00764EE3" w:rsidRDefault="00764EE3" w:rsidP="007E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EA2" w14:textId="77777777" w:rsidR="00764EE3" w:rsidRDefault="00764EE3"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5A11C" w14:textId="77777777" w:rsidR="00764EE3" w:rsidRDefault="00764EE3" w:rsidP="003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B907" w14:textId="77777777" w:rsidR="00764EE3" w:rsidRDefault="00764EE3"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358">
      <w:rPr>
        <w:rStyle w:val="PageNumber"/>
        <w:noProof/>
      </w:rPr>
      <w:t>1</w:t>
    </w:r>
    <w:r>
      <w:rPr>
        <w:rStyle w:val="PageNumber"/>
      </w:rPr>
      <w:fldChar w:fldCharType="end"/>
    </w:r>
  </w:p>
  <w:p w14:paraId="00172D81" w14:textId="78217ABC" w:rsidR="00546358" w:rsidRPr="00546358" w:rsidRDefault="00546358" w:rsidP="00546358">
    <w:pPr>
      <w:pStyle w:val="Footer"/>
      <w:ind w:right="360"/>
      <w:rPr>
        <w:b/>
      </w:rPr>
    </w:pPr>
    <w:r w:rsidRPr="00546358">
      <w:rPr>
        <w:b/>
      </w:rPr>
      <w:t>Approved</w:t>
    </w:r>
    <w:r w:rsidRPr="00546358">
      <w:rPr>
        <w:b/>
      </w:rPr>
      <w:t xml:space="preserve"> via absentee ballot</w:t>
    </w:r>
    <w:r w:rsidRPr="00546358">
      <w:rPr>
        <w:b/>
      </w:rPr>
      <w:t xml:space="preserve"> by the Educator Preparation Policy Council on </w:t>
    </w:r>
  </w:p>
  <w:p w14:paraId="6B04BDDD" w14:textId="62A785F5" w:rsidR="00764EE3" w:rsidRPr="00546358" w:rsidRDefault="00834190" w:rsidP="003F17AA">
    <w:pPr>
      <w:pStyle w:val="Footer"/>
      <w:ind w:right="360"/>
      <w:rPr>
        <w:b/>
      </w:rPr>
    </w:pPr>
    <w:r w:rsidRPr="00546358">
      <w:rPr>
        <w:b/>
      </w:rPr>
      <w:t>M</w:t>
    </w:r>
    <w:r w:rsidR="00546358" w:rsidRPr="00546358">
      <w:rPr>
        <w:b/>
      </w:rPr>
      <w:t>ay 13,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D202" w14:textId="77777777" w:rsidR="00764EE3" w:rsidRDefault="00764EE3" w:rsidP="007E7A00">
      <w:pPr>
        <w:spacing w:after="0" w:line="240" w:lineRule="auto"/>
      </w:pPr>
      <w:r>
        <w:separator/>
      </w:r>
    </w:p>
  </w:footnote>
  <w:footnote w:type="continuationSeparator" w:id="0">
    <w:p w14:paraId="47A889F7" w14:textId="77777777" w:rsidR="00764EE3" w:rsidRDefault="00764EE3" w:rsidP="007E7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5EB" w14:textId="584BCCBC" w:rsidR="00764EE3" w:rsidRPr="00346189" w:rsidRDefault="00764EE3" w:rsidP="003F17AA">
    <w:pPr>
      <w:spacing w:line="240" w:lineRule="auto"/>
      <w:jc w:val="center"/>
      <w:rPr>
        <w:rFonts w:ascii="Rockwell" w:hAnsi="Rockwell"/>
        <w:color w:val="972109" w:themeColor="accent5"/>
        <w:sz w:val="36"/>
        <w:szCs w:val="36"/>
      </w:rPr>
    </w:pPr>
    <w:r>
      <w:rPr>
        <w:rFonts w:ascii="Helvetica" w:hAnsi="Helvetica" w:cs="Helvetica"/>
        <w:noProof/>
      </w:rPr>
      <mc:AlternateContent>
        <mc:Choice Requires="wps">
          <w:drawing>
            <wp:anchor distT="0" distB="0" distL="114300" distR="114300" simplePos="0" relativeHeight="251662336" behindDoc="0" locked="0" layoutInCell="1" allowOverlap="1" wp14:anchorId="5D917AE4" wp14:editId="31246BCC">
              <wp:simplePos x="0" y="0"/>
              <wp:positionH relativeFrom="column">
                <wp:posOffset>114300</wp:posOffset>
              </wp:positionH>
              <wp:positionV relativeFrom="paragraph">
                <wp:posOffset>228600</wp:posOffset>
              </wp:positionV>
              <wp:extent cx="1028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4E1E0" w14:textId="77777777" w:rsidR="00764EE3" w:rsidRDefault="00764EE3"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9pt;margin-top:18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" filled="f" stroked="f">
              <v:textbox>
                <w:txbxContent>
                  <w:p w14:paraId="0BB4E1E0" w14:textId="77777777" w:rsidR="00764EE3" w:rsidRDefault="00764EE3" w:rsidP="003F17AA">
                    <w:pPr>
                      <w:ind w:left="0"/>
                    </w:pPr>
                  </w:p>
                </w:txbxContent>
              </v:textbox>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5D484B52" wp14:editId="397E7D4E">
              <wp:simplePos x="0" y="0"/>
              <wp:positionH relativeFrom="column">
                <wp:posOffset>-342900</wp:posOffset>
              </wp:positionH>
              <wp:positionV relativeFrom="paragraph">
                <wp:posOffset>228600</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9F710" w14:textId="77777777" w:rsidR="00764EE3" w:rsidRDefault="00764EE3"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6.95pt;margin-top:18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6pOM8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" filled="f" stroked="f">
              <v:textbox>
                <w:txbxContent>
                  <w:p w14:paraId="3549F710" w14:textId="77777777" w:rsidR="00764EE3" w:rsidRDefault="00764EE3" w:rsidP="003F17AA">
                    <w:pPr>
                      <w:ind w:left="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99DE1F" wp14:editId="5DEB1B5C">
              <wp:simplePos x="0" y="0"/>
              <wp:positionH relativeFrom="column">
                <wp:posOffset>4572000</wp:posOffset>
              </wp:positionH>
              <wp:positionV relativeFrom="paragraph">
                <wp:posOffset>228600</wp:posOffset>
              </wp:positionV>
              <wp:extent cx="10287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862C8" w14:textId="77777777" w:rsidR="00764EE3" w:rsidRDefault="00764EE3"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in;margin-top:18pt;width:81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OE/9ACAAAV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" filled="f" stroked="f">
              <v:textbox>
                <w:txbxContent>
                  <w:p w14:paraId="6C5862C8" w14:textId="77777777" w:rsidR="00764EE3" w:rsidRDefault="00764EE3"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v:textbox>
            </v:shape>
          </w:pict>
        </mc:Fallback>
      </mc:AlternateContent>
    </w:r>
    <w:r w:rsidRPr="0037749E">
      <w:rPr>
        <w:color w:val="972109" w:themeColor="accent5"/>
      </w:rPr>
      <w:t xml:space="preserve"> </w:t>
    </w:r>
    <w:r w:rsidRPr="00346189">
      <w:rPr>
        <w:rFonts w:ascii="Rockwell" w:hAnsi="Rockwell"/>
        <w:b/>
        <w:color w:val="972109" w:themeColor="accent5"/>
        <w:sz w:val="36"/>
        <w:szCs w:val="36"/>
      </w:rPr>
      <w:t>E</w:t>
    </w:r>
    <w:r w:rsidRPr="00346189">
      <w:rPr>
        <w:rFonts w:ascii="Rockwell" w:hAnsi="Rockwell"/>
        <w:color w:val="972109" w:themeColor="accent5"/>
        <w:sz w:val="36"/>
        <w:szCs w:val="36"/>
      </w:rPr>
      <w:t xml:space="preserve">ducator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reparation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olicy </w:t>
    </w:r>
    <w:r w:rsidRPr="00346189">
      <w:rPr>
        <w:rFonts w:ascii="Rockwell" w:hAnsi="Rockwell"/>
        <w:b/>
        <w:color w:val="972109" w:themeColor="accent5"/>
        <w:sz w:val="36"/>
        <w:szCs w:val="36"/>
      </w:rPr>
      <w:t>C</w:t>
    </w:r>
    <w:r w:rsidRPr="00346189">
      <w:rPr>
        <w:rFonts w:ascii="Rockwell" w:hAnsi="Rockwell"/>
        <w:color w:val="972109" w:themeColor="accent5"/>
        <w:sz w:val="36"/>
        <w:szCs w:val="36"/>
      </w:rPr>
      <w:t>ouncil</w:t>
    </w:r>
  </w:p>
  <w:p w14:paraId="12B60B8A" w14:textId="04089A66" w:rsidR="00764EE3" w:rsidRPr="002528CF" w:rsidRDefault="00764EE3" w:rsidP="002528CF">
    <w:pPr>
      <w:pStyle w:val="Heading1"/>
      <w:rPr>
        <w:b w:val="0"/>
        <w:color w:val="D6862D" w:themeColor="accent2"/>
        <w:sz w:val="28"/>
        <w:szCs w:val="28"/>
      </w:rPr>
    </w:pPr>
    <w:r>
      <w:rPr>
        <w:b w:val="0"/>
        <w:color w:val="D6862D" w:themeColor="accent2"/>
        <w:sz w:val="28"/>
        <w:szCs w:val="28"/>
      </w:rPr>
      <w:t>University of Minnesota, Twin C</w:t>
    </w:r>
    <w:r w:rsidRPr="0037749E">
      <w:rPr>
        <w:b w:val="0"/>
        <w:color w:val="D6862D" w:themeColor="accent2"/>
        <w:sz w:val="28"/>
        <w:szCs w:val="28"/>
      </w:rPr>
      <w:t>ities</w:t>
    </w:r>
    <w:r w:rsidRPr="008A2821">
      <w:rPr>
        <w:b w:val="0"/>
        <w:color w:val="D6862D" w:themeColor="accent2"/>
        <w:sz w:val="28"/>
        <w:szCs w:val="28"/>
      </w:rPr>
      <w:t xml:space="preserve"> </w:t>
    </w:r>
    <w:r w:rsidRPr="008A2821">
      <w:rPr>
        <w:b w:val="0"/>
        <w:noProof/>
        <w:sz w:val="28"/>
        <w:szCs w:val="28"/>
      </w:rPr>
      <mc:AlternateContent>
        <mc:Choice Requires="wps">
          <w:drawing>
            <wp:anchor distT="0" distB="0" distL="114300" distR="114300" simplePos="0" relativeHeight="251659264" behindDoc="0" locked="0" layoutInCell="1" allowOverlap="1" wp14:anchorId="1F8578EF" wp14:editId="5E7D1A80">
              <wp:simplePos x="0" y="0"/>
              <wp:positionH relativeFrom="column">
                <wp:posOffset>5143500</wp:posOffset>
              </wp:positionH>
              <wp:positionV relativeFrom="paragraph">
                <wp:posOffset>195580</wp:posOffset>
              </wp:positionV>
              <wp:extent cx="1028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6FA62" w14:textId="77777777" w:rsidR="00764EE3" w:rsidRDefault="00764EE3"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405pt;margin-top:15.4pt;width:8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" filled="f" stroked="f">
              <v:textbox>
                <w:txbxContent>
                  <w:p w14:paraId="65B6FA62" w14:textId="77777777" w:rsidR="00764EE3" w:rsidRDefault="00764EE3" w:rsidP="003F17AA">
                    <w:pPr>
                      <w:ind w:left="0"/>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2">
    <w:nsid w:val="20BC7141"/>
    <w:multiLevelType w:val="hybridMultilevel"/>
    <w:tmpl w:val="9080E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A4A0E"/>
    <w:multiLevelType w:val="hybridMultilevel"/>
    <w:tmpl w:val="6252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04E5A"/>
    <w:multiLevelType w:val="hybridMultilevel"/>
    <w:tmpl w:val="1C0A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230AE"/>
    <w:multiLevelType w:val="hybridMultilevel"/>
    <w:tmpl w:val="D444DD8C"/>
    <w:lvl w:ilvl="0" w:tplc="FDBCC4A0">
      <w:start w:val="1"/>
      <w:numFmt w:val="lowerLetter"/>
      <w:lvlText w:val="%1)"/>
      <w:lvlJc w:val="left"/>
      <w:pPr>
        <w:ind w:left="1080" w:hanging="360"/>
      </w:pPr>
      <w:rPr>
        <w:rFonts w:asciiTheme="minorHAnsi" w:eastAsia="Times New Roman" w:hAnsiTheme="minorHAnsi" w:cs="Times New Roman"/>
      </w:rPr>
    </w:lvl>
    <w:lvl w:ilvl="1" w:tplc="C1A680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F83A14"/>
    <w:multiLevelType w:val="hybridMultilevel"/>
    <w:tmpl w:val="811EB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B7170"/>
    <w:multiLevelType w:val="hybridMultilevel"/>
    <w:tmpl w:val="33BE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5"/>
  </w:num>
  <w:num w:numId="5">
    <w:abstractNumId w:val="2"/>
  </w:num>
  <w:num w:numId="6">
    <w:abstractNumId w:val="6"/>
  </w:num>
  <w:num w:numId="7">
    <w:abstractNumId w:val="3"/>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5"/>
    <w:rsid w:val="000926B3"/>
    <w:rsid w:val="00095C05"/>
    <w:rsid w:val="000E2FAD"/>
    <w:rsid w:val="000E6705"/>
    <w:rsid w:val="000F4EFE"/>
    <w:rsid w:val="001326BD"/>
    <w:rsid w:val="001354CE"/>
    <w:rsid w:val="00140DAE"/>
    <w:rsid w:val="001423A6"/>
    <w:rsid w:val="0015180F"/>
    <w:rsid w:val="001520A5"/>
    <w:rsid w:val="00166D55"/>
    <w:rsid w:val="00193653"/>
    <w:rsid w:val="001B5F1C"/>
    <w:rsid w:val="002528CF"/>
    <w:rsid w:val="00257E14"/>
    <w:rsid w:val="002761C5"/>
    <w:rsid w:val="002861E8"/>
    <w:rsid w:val="00286B80"/>
    <w:rsid w:val="002966F0"/>
    <w:rsid w:val="00297C1F"/>
    <w:rsid w:val="002C3DE4"/>
    <w:rsid w:val="003135A5"/>
    <w:rsid w:val="00337A32"/>
    <w:rsid w:val="00342159"/>
    <w:rsid w:val="003574FD"/>
    <w:rsid w:val="00360B6E"/>
    <w:rsid w:val="00373A22"/>
    <w:rsid w:val="003765C4"/>
    <w:rsid w:val="003C27DA"/>
    <w:rsid w:val="003F17AA"/>
    <w:rsid w:val="004119BE"/>
    <w:rsid w:val="00411F8B"/>
    <w:rsid w:val="00477352"/>
    <w:rsid w:val="004B5C09"/>
    <w:rsid w:val="004E1F06"/>
    <w:rsid w:val="004E227E"/>
    <w:rsid w:val="004E6CF5"/>
    <w:rsid w:val="00501B51"/>
    <w:rsid w:val="00546358"/>
    <w:rsid w:val="00546920"/>
    <w:rsid w:val="00554276"/>
    <w:rsid w:val="005B24A0"/>
    <w:rsid w:val="005E0F20"/>
    <w:rsid w:val="00613F59"/>
    <w:rsid w:val="00616B41"/>
    <w:rsid w:val="00620AE8"/>
    <w:rsid w:val="00642A55"/>
    <w:rsid w:val="0064628C"/>
    <w:rsid w:val="00680296"/>
    <w:rsid w:val="0068195C"/>
    <w:rsid w:val="006C3011"/>
    <w:rsid w:val="006F03D4"/>
    <w:rsid w:val="00717B64"/>
    <w:rsid w:val="00741667"/>
    <w:rsid w:val="0074647A"/>
    <w:rsid w:val="00764EE3"/>
    <w:rsid w:val="00771C24"/>
    <w:rsid w:val="007927A5"/>
    <w:rsid w:val="007A2216"/>
    <w:rsid w:val="007B0712"/>
    <w:rsid w:val="007D2FE4"/>
    <w:rsid w:val="007D5836"/>
    <w:rsid w:val="007D6CD6"/>
    <w:rsid w:val="007E7A00"/>
    <w:rsid w:val="00821535"/>
    <w:rsid w:val="00822918"/>
    <w:rsid w:val="008240DA"/>
    <w:rsid w:val="00834190"/>
    <w:rsid w:val="0083755C"/>
    <w:rsid w:val="00837991"/>
    <w:rsid w:val="00867EA4"/>
    <w:rsid w:val="008721D5"/>
    <w:rsid w:val="00895FB9"/>
    <w:rsid w:val="008A2821"/>
    <w:rsid w:val="008A3D3B"/>
    <w:rsid w:val="008C5E9C"/>
    <w:rsid w:val="008E476B"/>
    <w:rsid w:val="00986AE2"/>
    <w:rsid w:val="009921B8"/>
    <w:rsid w:val="00993B51"/>
    <w:rsid w:val="00994FFD"/>
    <w:rsid w:val="009A336B"/>
    <w:rsid w:val="00A07662"/>
    <w:rsid w:val="00A11E80"/>
    <w:rsid w:val="00A2587C"/>
    <w:rsid w:val="00A4511E"/>
    <w:rsid w:val="00A54DE0"/>
    <w:rsid w:val="00A86D34"/>
    <w:rsid w:val="00A87891"/>
    <w:rsid w:val="00AE391E"/>
    <w:rsid w:val="00B41CD8"/>
    <w:rsid w:val="00B435B5"/>
    <w:rsid w:val="00B5397D"/>
    <w:rsid w:val="00B74082"/>
    <w:rsid w:val="00B87AE9"/>
    <w:rsid w:val="00B900F1"/>
    <w:rsid w:val="00BB542C"/>
    <w:rsid w:val="00BC50AE"/>
    <w:rsid w:val="00C1643D"/>
    <w:rsid w:val="00C31133"/>
    <w:rsid w:val="00C63F0F"/>
    <w:rsid w:val="00D20498"/>
    <w:rsid w:val="00D31AB7"/>
    <w:rsid w:val="00D55EA9"/>
    <w:rsid w:val="00D608D4"/>
    <w:rsid w:val="00DA3B4F"/>
    <w:rsid w:val="00DB6758"/>
    <w:rsid w:val="00E37B30"/>
    <w:rsid w:val="00E460A2"/>
    <w:rsid w:val="00E873E0"/>
    <w:rsid w:val="00EA277E"/>
    <w:rsid w:val="00EB7CA2"/>
    <w:rsid w:val="00ED2907"/>
    <w:rsid w:val="00EE3934"/>
    <w:rsid w:val="00F056AE"/>
    <w:rsid w:val="00F36BB7"/>
    <w:rsid w:val="00F560A9"/>
    <w:rsid w:val="00FA1475"/>
    <w:rsid w:val="00FB235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A8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99"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99" w:qFormat="1"/>
    <w:lsdException w:name="Title" w:qFormat="1"/>
    <w:lsdException w:name="Subtitle" w:qFormat="1"/>
    <w:lsdException w:name="Strong" w:qFormat="1"/>
    <w:lsdException w:name="Emphasis"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CB45B6D-FB97-7640-A9FF-44C0F7DB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1372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University of Minnesota</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Jessica Tobin</dc:creator>
  <cp:lastModifiedBy>Jessica Tobin</cp:lastModifiedBy>
  <cp:revision>7</cp:revision>
  <cp:lastPrinted>2014-10-08T18:08:00Z</cp:lastPrinted>
  <dcterms:created xsi:type="dcterms:W3CDTF">2015-09-12T16:51:00Z</dcterms:created>
  <dcterms:modified xsi:type="dcterms:W3CDTF">2015-10-24T19:32:00Z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